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174</w:t>
      </w:r>
    </w:p>
    <w:p>
      <w:r>
        <w:t>Bundesgericht (BGE), 1978-08-28, DE</w:t>
      </w:r>
    </w:p>
    <w:p>
      <w:r>
        <w:rPr>
          <w:b/>
        </w:rPr>
        <w:t xml:space="preserve">Quelle: </w:t>
      </w:r>
      <w:r>
        <w:t>https://mcp.opencaselaw.ch/entscheid/bge_104 V 174</w:t>
      </w:r>
    </w:p>
    <w:p>
      <w:r>
        <w:t>FR: ATF 104 V 174</w:t>
      </w:r>
    </w:p>
    <w:p>
      <w:r>
        <w:t>IT: DTF 104 V 174</w:t>
      </w:r>
    </w:p>
    <w:p>
      <w:pPr>
        <w:pStyle w:val="Heading2"/>
      </w:pPr>
      <w:r>
        <w:t>Regeste</w:t>
      </w:r>
    </w:p>
    <w:p>
      <w:r>
        <w:t>Regeste Art. 45 VwVG, 101 lit. a OG und 30ter KUVG. Eine Zwischenverfügung des Schiedsgerichts gemäss Art. 25 KUVG, welche das Ausstandsbegehren gegen einen mitwirkenden Schiedsrichter abweist, ist selbständig mit Verwaltungsgerichtsbeschwerde anfechtbar (Erw. 1). Art. 25 Abs. 4 KUVG. Ein Schiedsrichter kann nicht deswegen als befangen abgelehnt werden, weil er bereits am vorangegangenen Vermittlungsverfahren vor der Schlichtungsinstanz mitgewirkt hat (Erw. 2 und 3).</w:t>
      </w:r>
    </w:p>
    <w:p>
      <w:pPr>
        <w:pStyle w:val="Heading2"/>
      </w:pPr>
      <w:r>
        <w:t>Erwägungen</w:t>
      </w:r>
    </w:p>
    <w:p>
      <w:r>
        <w:rPr>
          <w:b/>
        </w:rPr>
        <w:t>E. 1</w:t>
      </w:r>
    </w:p>
    <w:p>
      <w:r>
        <w:t>a) Gemäss Art. 128 OG beurteilt das Eidg. Versicherungsgericht letztinstanzlich Verwaltungsgerichtsbeschwerden gegen Verfügungen im Sinne von Art. 97 und 98 lit. b-h OG auf dem Gebiete der Sozialversicherung. Hinsichtlich des Begriffes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selbständigen, der Endverfügung vorangehenden Beschwerdeverfahrens, insbesondere für alle in Art. 45 Abs. 2 VwVG - nicht abschliessend - aufgezählten Zwischenverfügungen ( BGE 98 V 220 f. mit Hinweisen; GYGI, Verwaltungsrechtspflege und Verwaltungsverfahren im Bund, 2. Aufl., S. 98 ff.). Für das letztinstanzliche Beschwerdeverfahren ist ferner zu beachten, dass gemäss Art. 129 Abs. 2 in Verbindung mit Art. 101 lit. a OG die Verwaltungsgerichtsbeschwerde gegen Zwischenverfügungen nur zulässig ist, wenn sie auch gegen die Endverfügung offensteht; dies trifft hier zu ( Art. 30ter KUVG ). Auf die Verwaltungsgerichtsbeschwerde ist daher nur dann einzutreten, wenn die angefochtene Zwischenverfügung einen irreversiblen Nachteil bringen kann. b) Das Eidg. Versicherungsgericht hatte sich noch nie zur Frage zu äussern, ob dies bei Ablehnung eines Ausstandbegehrens gegen einen am vorinstanzlichen Verfahren mitwirkenden BGE 104 V 174 S. 177 Richter zutreffe. Hingegen wurde in einem unveröffentlichten Urteil vom 12. März 1976 i.S. Badertscher, gestützt auf einen Gesamtgerichtsbeschluss, die Auffassung vertreten, dass bei der Beurteilung der Befangenheit eines gerichtlichen Experten regelmässig ein nicht wieder gutzumachender Nachteil im Spiel stehe. Was aber im Falle eines Experten, der ja nur mittelbar auf die Entscheidungsfindung einwirken kann, angenommen wurde, muss für den urteilenden Richter selbst umso mehr gelten. Die Verwaltungsgerichtsbeschwerde gegen die vorinstanzliche Zwischenverfügung ist damit zulässig.</w:t>
      </w:r>
    </w:p>
    <w:p>
      <w:r>
        <w:rPr>
          <w:b/>
        </w:rPr>
        <w:t>E. 2</w:t>
      </w:r>
    </w:p>
    <w:p>
      <w:r>
        <w:t>... Durch die Mitwirkung der gleichen Person in der Schlichtungsinstanz und am Schiedsgericht sieht die Beschwerdeführerin den Grundsatz der richterlichen Unabhängigkeit und damit Art. 4 BV verletzt. Diese Rüge ist zulässig, stellt doch eine Missachtung entsprechender Verfassungsgrundsätze eine Verletzung von Bundesrecht im Sinne von Art. 104 lit. a OG dar ( BGE 99 V 57 Erw. 3, 122 Erw. 3a, 184 Erw. 1, BGE 102 V 130 ). Auf die Verwaltungsgerichtsbeschwerde ist mithin einzutreten.</w:t>
      </w:r>
    </w:p>
    <w:p>
      <w:r>
        <w:rPr>
          <w:b/>
        </w:rPr>
        <w:t>E. 3</w:t>
      </w:r>
    </w:p>
    <w:p>
      <w:r>
        <w:t>Gemäss Art. 25 Abs. 4 KUVG hat dem Verfahren vor dem Schiedsgericht in jedem Falle ein Vermittlungsverfahren vorauszugehen. Dessen Durchführung obliegt entweder der vertraglich eingesetzten Schlichtungsinstanz oder aber, wenn keine solche geamtet hat, dem Schiedsgericht selbst. Im letzteren Falle besteht somit regelmässig Personalunion zwischen Vermittler und Richter. Diese gesetzliche Regelung kann vom Eidg. Versicherungsgericht nicht auf ihre Verfassungsmässigkeit hin überprüft werden ( Art. 113 Abs. 3 BV ). - Im Sinne der dem Gesetze zugrundeliegenden Auffassung ist deshalb davon auszugehen, dass die Unbefangenheit des Schiedsrichters nicht schon dadurch in Frage gestellt wird, dass dieser - vorgängig der schiedsgerichtlichen Behandlung des Streitfalles - bei der Vermittlung mitgewirkt hat. In diesem Falle kann es aber auch keinen Unterschied ausmachen, ob der betreffende Schiedsrichter diese Vermittlertätigkeit in der Funktion als Mitglied eines Schiedsgerichts oder einer Schlichtungsstelle ausgeübt hat. Der vorinstanzliche Entscheid hält sich damit im Rahmen der Regelung des Art. 25 Abs. 4 KUVG und ist deshalb auch BGE 104 V 174 S. 178 aus verfassungsrechtlicher Sicht nicht zu beanstanden. Dass andere Gründe die Unbefangenheit von Schiedsrichter J. beeinträchtigen würden, macht die Beschwerdeführerin nicht geltend.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